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85B6C" w14:textId="77777777" w:rsidR="00CA6C12" w:rsidRPr="001C7EB4" w:rsidRDefault="00000000" w:rsidP="004C0004">
      <w:pPr>
        <w:spacing w:after="0" w:line="560" w:lineRule="exact"/>
        <w:ind w:rightChars="-24" w:right="-53"/>
        <w:jc w:val="left"/>
        <w:rPr>
          <w:rFonts w:ascii="黑体" w:eastAsia="黑体" w:hAnsi="黑体" w:cs="Times New Roman"/>
          <w:sz w:val="32"/>
          <w:szCs w:val="22"/>
          <w14:ligatures w14:val="none"/>
        </w:rPr>
      </w:pPr>
      <w:r w:rsidRPr="001C7EB4">
        <w:rPr>
          <w:rFonts w:ascii="黑体" w:eastAsia="黑体" w:hAnsi="黑体" w:cs="Times New Roman"/>
          <w:sz w:val="32"/>
          <w:szCs w:val="22"/>
          <w14:ligatures w14:val="none"/>
        </w:rPr>
        <w:t>附件1</w:t>
      </w:r>
    </w:p>
    <w:p w14:paraId="620B87F4" w14:textId="77777777" w:rsidR="001C7EB4" w:rsidRDefault="001C7EB4" w:rsidP="004C0004">
      <w:pPr>
        <w:autoSpaceDE w:val="0"/>
        <w:autoSpaceDN w:val="0"/>
        <w:spacing w:line="560" w:lineRule="exact"/>
        <w:ind w:left="641" w:hanging="618"/>
        <w:jc w:val="center"/>
        <w:rPr>
          <w:rFonts w:ascii="方正小标宋_GBK" w:eastAsia="方正小标宋_GBK" w:hAnsi="方正小标宋_GBK" w:cs="方正小标宋_GBK"/>
          <w:bCs/>
          <w:color w:val="000000"/>
          <w:kern w:val="0"/>
          <w:sz w:val="44"/>
        </w:rPr>
      </w:pPr>
      <w:r w:rsidRPr="001C7EB4">
        <w:rPr>
          <w:rFonts w:ascii="方正小标宋_GBK" w:eastAsia="方正小标宋_GBK" w:hAnsi="方正小标宋_GBK" w:cs="方正小标宋_GBK" w:hint="eastAsia"/>
          <w:bCs/>
          <w:color w:val="000000"/>
          <w:kern w:val="0"/>
          <w:sz w:val="44"/>
        </w:rPr>
        <w:t>青岛财通集团有限公司</w:t>
      </w:r>
    </w:p>
    <w:p w14:paraId="4C270453" w14:textId="1CBA1DAD" w:rsidR="00CA6C12" w:rsidRDefault="001C7EB4" w:rsidP="004C0004">
      <w:pPr>
        <w:autoSpaceDE w:val="0"/>
        <w:autoSpaceDN w:val="0"/>
        <w:spacing w:line="560" w:lineRule="exact"/>
        <w:ind w:left="641" w:hanging="618"/>
        <w:jc w:val="center"/>
        <w:rPr>
          <w:rFonts w:ascii="方正小标宋_GBK" w:eastAsia="方正小标宋_GBK" w:hAnsi="方正小标宋_GBK" w:cs="方正小标宋_GBK"/>
          <w:bCs/>
          <w:color w:val="000000"/>
          <w:kern w:val="0"/>
          <w:sz w:val="44"/>
        </w:rPr>
      </w:pPr>
      <w:r w:rsidRPr="001C7EB4">
        <w:rPr>
          <w:rFonts w:ascii="方正小标宋_GBK" w:eastAsia="方正小标宋_GBK" w:hAnsi="方正小标宋_GBK" w:cs="方正小标宋_GBK" w:hint="eastAsia"/>
          <w:bCs/>
          <w:color w:val="000000"/>
          <w:kern w:val="0"/>
          <w:sz w:val="44"/>
        </w:rPr>
        <w:t>年度税务咨询服务需求</w:t>
      </w:r>
    </w:p>
    <w:p w14:paraId="61834D93" w14:textId="77777777" w:rsidR="004C0004" w:rsidRPr="004C0004" w:rsidRDefault="004C0004" w:rsidP="004C0004">
      <w:pPr>
        <w:spacing w:after="0" w:line="560" w:lineRule="exact"/>
        <w:ind w:left="220" w:firstLine="420"/>
        <w:rPr>
          <w:rFonts w:ascii="仿宋_GB2312" w:eastAsia="仿宋_GB2312" w:hAnsi="黑体" w:cs="黑体"/>
          <w:sz w:val="32"/>
          <w:szCs w:val="32"/>
        </w:rPr>
      </w:pPr>
    </w:p>
    <w:p w14:paraId="7404A88A" w14:textId="73ECE111" w:rsidR="004C0004" w:rsidRPr="004C0004" w:rsidRDefault="004C0004" w:rsidP="004C0004">
      <w:pPr>
        <w:spacing w:after="0" w:line="560" w:lineRule="exact"/>
        <w:ind w:left="220" w:firstLine="420"/>
        <w:rPr>
          <w:rFonts w:ascii="黑体" w:eastAsia="黑体" w:hAnsi="黑体" w:cs="黑体"/>
          <w:sz w:val="32"/>
          <w:szCs w:val="32"/>
          <w14:ligatures w14:val="none"/>
        </w:rPr>
      </w:pPr>
      <w:r w:rsidRPr="004C0004">
        <w:rPr>
          <w:rFonts w:ascii="黑体" w:eastAsia="黑体" w:hAnsi="黑体" w:cs="黑体" w:hint="eastAsia"/>
          <w:sz w:val="32"/>
          <w:szCs w:val="32"/>
          <w14:ligatures w14:val="none"/>
        </w:rPr>
        <w:t>一、集团基本情况</w:t>
      </w:r>
    </w:p>
    <w:p w14:paraId="5ED16101" w14:textId="6ECE98B5" w:rsidR="004C0004" w:rsidRPr="004C0004" w:rsidRDefault="004C0004" w:rsidP="004C0004">
      <w:pPr>
        <w:spacing w:line="560" w:lineRule="exact"/>
        <w:ind w:firstLineChars="200" w:firstLine="640"/>
        <w:rPr>
          <w:rFonts w:ascii="仿宋_GB2312" w:eastAsia="仿宋_GB2312" w:hAnsi="Times New Roman" w:cs="Times New Roman"/>
          <w:sz w:val="32"/>
          <w:szCs w:val="32"/>
        </w:rPr>
      </w:pPr>
      <w:r w:rsidRPr="004C0004">
        <w:rPr>
          <w:rFonts w:ascii="仿宋_GB2312" w:eastAsia="仿宋_GB2312" w:hAnsi="Times New Roman" w:cs="Times New Roman" w:hint="eastAsia"/>
          <w:sz w:val="32"/>
          <w:szCs w:val="32"/>
        </w:rPr>
        <w:t>集团成立于2020年9月，为青岛市属金融类企业，目前一级子公司数量1</w:t>
      </w:r>
      <w:r w:rsidR="004A58C8">
        <w:rPr>
          <w:rFonts w:ascii="仿宋_GB2312" w:eastAsia="仿宋_GB2312" w:hAnsi="Times New Roman" w:cs="Times New Roman" w:hint="eastAsia"/>
          <w:sz w:val="32"/>
          <w:szCs w:val="32"/>
        </w:rPr>
        <w:t>1</w:t>
      </w:r>
      <w:r w:rsidRPr="004C0004">
        <w:rPr>
          <w:rFonts w:ascii="仿宋_GB2312" w:eastAsia="仿宋_GB2312" w:hAnsi="Times New Roman" w:cs="Times New Roman" w:hint="eastAsia"/>
          <w:sz w:val="32"/>
          <w:szCs w:val="32"/>
        </w:rPr>
        <w:t>家。公司业</w:t>
      </w:r>
      <w:proofErr w:type="gramStart"/>
      <w:r w:rsidRPr="004C0004">
        <w:rPr>
          <w:rFonts w:ascii="仿宋_GB2312" w:eastAsia="仿宋_GB2312" w:hAnsi="Times New Roman" w:cs="Times New Roman" w:hint="eastAsia"/>
          <w:sz w:val="32"/>
          <w:szCs w:val="32"/>
        </w:rPr>
        <w:t>态涉及</w:t>
      </w:r>
      <w:proofErr w:type="gramEnd"/>
      <w:r w:rsidRPr="004C0004">
        <w:rPr>
          <w:rFonts w:ascii="仿宋_GB2312" w:eastAsia="仿宋_GB2312" w:hAnsi="Times New Roman" w:cs="Times New Roman" w:hint="eastAsia"/>
          <w:sz w:val="32"/>
          <w:szCs w:val="32"/>
        </w:rPr>
        <w:t>资产盘活（房产、不良债权等）、城市更新项目建设</w:t>
      </w:r>
      <w:r w:rsidR="00D73E38" w:rsidRPr="004C0004">
        <w:rPr>
          <w:rFonts w:ascii="仿宋_GB2312" w:eastAsia="仿宋_GB2312" w:hAnsi="Times New Roman" w:cs="Times New Roman" w:hint="eastAsia"/>
          <w:sz w:val="32"/>
          <w:szCs w:val="32"/>
        </w:rPr>
        <w:t>、股权投资</w:t>
      </w:r>
      <w:r w:rsidRPr="004C0004">
        <w:rPr>
          <w:rFonts w:ascii="仿宋_GB2312" w:eastAsia="仿宋_GB2312" w:hAnsi="Times New Roman" w:cs="Times New Roman" w:hint="eastAsia"/>
          <w:sz w:val="32"/>
          <w:szCs w:val="32"/>
        </w:rPr>
        <w:t>、担保、保理、贸易、融资租赁、</w:t>
      </w:r>
      <w:r w:rsidR="00D73E38">
        <w:rPr>
          <w:rFonts w:ascii="仿宋_GB2312" w:eastAsia="仿宋_GB2312" w:hAnsi="Times New Roman" w:cs="Times New Roman" w:hint="eastAsia"/>
          <w:sz w:val="32"/>
          <w:szCs w:val="32"/>
        </w:rPr>
        <w:t>城市照明、</w:t>
      </w:r>
      <w:r w:rsidRPr="004C0004">
        <w:rPr>
          <w:rFonts w:ascii="仿宋_GB2312" w:eastAsia="仿宋_GB2312" w:hAnsi="Times New Roman" w:cs="Times New Roman" w:hint="eastAsia"/>
          <w:sz w:val="32"/>
          <w:szCs w:val="32"/>
        </w:rPr>
        <w:t>设计咨询等。</w:t>
      </w:r>
    </w:p>
    <w:p w14:paraId="16DED0C9" w14:textId="7D5F9527" w:rsidR="004C0004" w:rsidRPr="004C0004" w:rsidRDefault="004C0004" w:rsidP="004C0004">
      <w:pPr>
        <w:spacing w:after="0" w:line="560" w:lineRule="exact"/>
        <w:ind w:left="220" w:firstLine="420"/>
        <w:rPr>
          <w:rFonts w:ascii="黑体" w:eastAsia="黑体" w:hAnsi="黑体" w:cs="黑体"/>
          <w:sz w:val="32"/>
          <w:szCs w:val="32"/>
          <w14:ligatures w14:val="none"/>
        </w:rPr>
      </w:pPr>
      <w:r w:rsidRPr="004C0004">
        <w:rPr>
          <w:rFonts w:ascii="黑体" w:eastAsia="黑体" w:hAnsi="黑体" w:cs="黑体" w:hint="eastAsia"/>
          <w:sz w:val="32"/>
          <w:szCs w:val="32"/>
          <w14:ligatures w14:val="none"/>
        </w:rPr>
        <w:t>二、项目范围</w:t>
      </w:r>
    </w:p>
    <w:p w14:paraId="2183430D" w14:textId="461524B9" w:rsidR="004C0004" w:rsidRPr="004C0004" w:rsidRDefault="004C0004" w:rsidP="004C0004">
      <w:pPr>
        <w:spacing w:line="560" w:lineRule="exact"/>
        <w:ind w:firstLineChars="200" w:firstLine="640"/>
        <w:rPr>
          <w:rFonts w:ascii="仿宋_GB2312" w:eastAsia="仿宋_GB2312" w:hAnsi="Times New Roman" w:cs="Times New Roman"/>
          <w:sz w:val="32"/>
          <w:szCs w:val="32"/>
        </w:rPr>
      </w:pPr>
      <w:r w:rsidRPr="004C0004">
        <w:rPr>
          <w:rFonts w:ascii="仿宋_GB2312" w:eastAsia="仿宋_GB2312" w:hAnsi="Times New Roman" w:cs="Times New Roman" w:hint="eastAsia"/>
          <w:sz w:val="32"/>
          <w:szCs w:val="32"/>
        </w:rPr>
        <w:t>集团和</w:t>
      </w:r>
      <w:r w:rsidR="00D73E38">
        <w:rPr>
          <w:rFonts w:ascii="仿宋_GB2312" w:eastAsia="仿宋_GB2312" w:hAnsi="Times New Roman" w:cs="Times New Roman" w:hint="eastAsia"/>
          <w:sz w:val="32"/>
          <w:szCs w:val="32"/>
        </w:rPr>
        <w:t>各</w:t>
      </w:r>
      <w:r w:rsidRPr="004C0004">
        <w:rPr>
          <w:rFonts w:ascii="仿宋_GB2312" w:eastAsia="仿宋_GB2312" w:hAnsi="Times New Roman" w:cs="Times New Roman" w:hint="eastAsia"/>
          <w:sz w:val="32"/>
          <w:szCs w:val="32"/>
        </w:rPr>
        <w:t>子公司（目前各公司业</w:t>
      </w:r>
      <w:proofErr w:type="gramStart"/>
      <w:r w:rsidRPr="004C0004">
        <w:rPr>
          <w:rFonts w:ascii="仿宋_GB2312" w:eastAsia="仿宋_GB2312" w:hAnsi="Times New Roman" w:cs="Times New Roman" w:hint="eastAsia"/>
          <w:sz w:val="32"/>
          <w:szCs w:val="32"/>
        </w:rPr>
        <w:t>态相对</w:t>
      </w:r>
      <w:proofErr w:type="gramEnd"/>
      <w:r w:rsidRPr="004C0004">
        <w:rPr>
          <w:rFonts w:ascii="仿宋_GB2312" w:eastAsia="仿宋_GB2312" w:hAnsi="Times New Roman" w:cs="Times New Roman" w:hint="eastAsia"/>
          <w:sz w:val="32"/>
          <w:szCs w:val="32"/>
        </w:rPr>
        <w:t>稳定，税务处理相对成熟，税务咨询工作量平均每周累计约半天-一天）。</w:t>
      </w:r>
    </w:p>
    <w:p w14:paraId="43AFFB7A" w14:textId="7FDC3255" w:rsidR="004C0004" w:rsidRPr="004C0004" w:rsidRDefault="004C0004" w:rsidP="004C0004">
      <w:pPr>
        <w:spacing w:after="0" w:line="560" w:lineRule="exact"/>
        <w:ind w:left="220" w:firstLine="420"/>
        <w:rPr>
          <w:rFonts w:ascii="黑体" w:eastAsia="黑体" w:hAnsi="黑体" w:cs="黑体"/>
          <w:sz w:val="32"/>
          <w:szCs w:val="32"/>
          <w14:ligatures w14:val="none"/>
        </w:rPr>
      </w:pPr>
      <w:r w:rsidRPr="004C0004">
        <w:rPr>
          <w:rFonts w:ascii="黑体" w:eastAsia="黑体" w:hAnsi="黑体" w:cs="黑体" w:hint="eastAsia"/>
          <w:sz w:val="32"/>
          <w:szCs w:val="32"/>
          <w14:ligatures w14:val="none"/>
        </w:rPr>
        <w:t>三、采购内容</w:t>
      </w:r>
    </w:p>
    <w:p w14:paraId="514F422C" w14:textId="77777777" w:rsidR="004C0004" w:rsidRDefault="004C0004" w:rsidP="004C0004">
      <w:pPr>
        <w:spacing w:line="560" w:lineRule="exact"/>
        <w:ind w:firstLineChars="200" w:firstLine="640"/>
        <w:rPr>
          <w:rFonts w:ascii="仿宋_GB2312" w:eastAsia="仿宋_GB2312" w:hAnsi="Times New Roman" w:cs="Times New Roman"/>
          <w:sz w:val="32"/>
          <w:szCs w:val="32"/>
        </w:rPr>
      </w:pPr>
      <w:r w:rsidRPr="004C0004">
        <w:rPr>
          <w:rFonts w:ascii="仿宋_GB2312" w:eastAsia="仿宋_GB2312" w:hAnsi="Times New Roman" w:cs="Times New Roman" w:hint="eastAsia"/>
          <w:sz w:val="32"/>
          <w:szCs w:val="32"/>
        </w:rPr>
        <w:t>年度税务咨询服务，包括但不限于以下服务:</w:t>
      </w:r>
    </w:p>
    <w:p w14:paraId="18B2CAAF" w14:textId="5F667C36" w:rsidR="00122BF0" w:rsidRDefault="00122BF0" w:rsidP="004C0004">
      <w:pPr>
        <w:spacing w:line="560" w:lineRule="exact"/>
        <w:ind w:firstLineChars="200" w:firstLine="640"/>
        <w:rPr>
          <w:rFonts w:ascii="仿宋_GB2312" w:eastAsia="仿宋_GB2312" w:hAnsi="Times New Roman" w:cs="Times New Roman" w:hint="eastAsia"/>
          <w:sz w:val="32"/>
          <w:szCs w:val="32"/>
        </w:rPr>
      </w:pPr>
      <w:r w:rsidRPr="00122BF0">
        <w:rPr>
          <w:rFonts w:ascii="仿宋_GB2312" w:eastAsia="仿宋_GB2312" w:hAnsi="Times New Roman" w:cs="Times New Roman"/>
          <w:sz w:val="32"/>
          <w:szCs w:val="32"/>
        </w:rPr>
        <w:t>1.定期对集团及子公司涉税情况进行检视，梳理可能存在的问题并提出管理建议</w:t>
      </w:r>
      <w:r>
        <w:rPr>
          <w:rFonts w:ascii="仿宋_GB2312" w:eastAsia="仿宋_GB2312" w:hAnsi="Times New Roman" w:cs="Times New Roman" w:hint="eastAsia"/>
          <w:sz w:val="32"/>
          <w:szCs w:val="32"/>
        </w:rPr>
        <w:t>。</w:t>
      </w:r>
    </w:p>
    <w:p w14:paraId="5ACC071B" w14:textId="40CDD403" w:rsidR="00122BF0" w:rsidRDefault="00122BF0" w:rsidP="004C0004">
      <w:pPr>
        <w:spacing w:line="560" w:lineRule="exact"/>
        <w:ind w:firstLineChars="200" w:firstLine="640"/>
        <w:rPr>
          <w:rFonts w:ascii="仿宋_GB2312" w:eastAsia="仿宋_GB2312" w:hAnsi="Times New Roman" w:cs="Times New Roman"/>
          <w:sz w:val="32"/>
          <w:szCs w:val="32"/>
        </w:rPr>
      </w:pPr>
      <w:r w:rsidRPr="00122BF0">
        <w:rPr>
          <w:rFonts w:ascii="仿宋_GB2312" w:eastAsia="仿宋_GB2312" w:hAnsi="Times New Roman" w:cs="Times New Roman"/>
          <w:sz w:val="32"/>
          <w:szCs w:val="32"/>
        </w:rPr>
        <w:t>2.协助解决相</w:t>
      </w:r>
      <w:proofErr w:type="gramStart"/>
      <w:r w:rsidRPr="00122BF0">
        <w:rPr>
          <w:rFonts w:ascii="仿宋_GB2312" w:eastAsia="仿宋_GB2312" w:hAnsi="Times New Roman" w:cs="Times New Roman"/>
          <w:sz w:val="32"/>
          <w:szCs w:val="32"/>
        </w:rPr>
        <w:t>关涉税</w:t>
      </w:r>
      <w:proofErr w:type="gramEnd"/>
      <w:r w:rsidRPr="00122BF0">
        <w:rPr>
          <w:rFonts w:ascii="仿宋_GB2312" w:eastAsia="仿宋_GB2312" w:hAnsi="Times New Roman" w:cs="Times New Roman"/>
          <w:sz w:val="32"/>
          <w:szCs w:val="32"/>
        </w:rPr>
        <w:t>问题，提出解决路径及建议</w:t>
      </w:r>
      <w:r>
        <w:rPr>
          <w:rFonts w:ascii="仿宋_GB2312" w:eastAsia="仿宋_GB2312" w:hAnsi="Times New Roman" w:cs="Times New Roman" w:hint="eastAsia"/>
          <w:sz w:val="32"/>
          <w:szCs w:val="32"/>
        </w:rPr>
        <w:t>。</w:t>
      </w:r>
    </w:p>
    <w:p w14:paraId="4987DA8C" w14:textId="1379B19E" w:rsidR="00122BF0" w:rsidRPr="00122BF0" w:rsidRDefault="00122BF0" w:rsidP="004C0004">
      <w:pPr>
        <w:spacing w:line="560" w:lineRule="exact"/>
        <w:ind w:firstLineChars="200" w:firstLine="640"/>
        <w:rPr>
          <w:rFonts w:ascii="仿宋_GB2312" w:eastAsia="仿宋_GB2312" w:hAnsi="Times New Roman" w:cs="Times New Roman" w:hint="eastAsia"/>
          <w:sz w:val="32"/>
          <w:szCs w:val="32"/>
        </w:rPr>
      </w:pPr>
      <w:r w:rsidRPr="00122BF0">
        <w:rPr>
          <w:rFonts w:ascii="仿宋_GB2312" w:eastAsia="仿宋_GB2312" w:hAnsi="Times New Roman" w:cs="Times New Roman"/>
          <w:sz w:val="32"/>
          <w:szCs w:val="32"/>
        </w:rPr>
        <w:t>3.集团及子公司涉及的各税种咨询服务</w:t>
      </w:r>
      <w:r>
        <w:rPr>
          <w:rFonts w:ascii="仿宋_GB2312" w:eastAsia="仿宋_GB2312" w:hAnsi="Times New Roman" w:cs="Times New Roman" w:hint="eastAsia"/>
          <w:sz w:val="32"/>
          <w:szCs w:val="32"/>
        </w:rPr>
        <w:t>：</w:t>
      </w:r>
    </w:p>
    <w:p w14:paraId="68AA7D6E" w14:textId="6538335B" w:rsidR="004C0004" w:rsidRDefault="00122BF0" w:rsidP="004C000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4C0004" w:rsidRPr="004C0004">
        <w:rPr>
          <w:rFonts w:ascii="仿宋_GB2312" w:eastAsia="仿宋_GB2312" w:hAnsi="Times New Roman" w:cs="Times New Roman" w:hint="eastAsia"/>
          <w:sz w:val="32"/>
          <w:szCs w:val="32"/>
        </w:rPr>
        <w:t>企业所得税咨询服务。就集团及各子公司日常经营中所涉及的企业所得税应纳税所得额确认、减免税等问题提供咨</w:t>
      </w:r>
      <w:r w:rsidR="004C0004" w:rsidRPr="004C0004">
        <w:rPr>
          <w:rFonts w:ascii="仿宋_GB2312" w:eastAsia="仿宋_GB2312" w:hAnsi="Times New Roman" w:cs="Times New Roman" w:hint="eastAsia"/>
          <w:sz w:val="32"/>
          <w:szCs w:val="32"/>
        </w:rPr>
        <w:lastRenderedPageBreak/>
        <w:t>询服务;</w:t>
      </w:r>
    </w:p>
    <w:p w14:paraId="402815E9" w14:textId="1E848D86" w:rsidR="00122BF0" w:rsidRPr="004C0004" w:rsidRDefault="00122BF0" w:rsidP="00122BF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Pr="004C0004">
        <w:rPr>
          <w:rFonts w:ascii="仿宋_GB2312" w:eastAsia="仿宋_GB2312" w:hAnsi="Times New Roman" w:cs="Times New Roman" w:hint="eastAsia"/>
          <w:sz w:val="32"/>
          <w:szCs w:val="32"/>
        </w:rPr>
        <w:t>增值税咨询服务。就集团及各子公司日常经营活动中所涉及的销项税额计算、进项税额抵扣、增值税纳税申报、增值税发票等问题提供咨询服务;</w:t>
      </w:r>
    </w:p>
    <w:p w14:paraId="5CDD5419" w14:textId="531740AA" w:rsidR="00122BF0" w:rsidRPr="004C0004" w:rsidRDefault="00122BF0" w:rsidP="00122BF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Pr="004C0004">
        <w:rPr>
          <w:rFonts w:ascii="仿宋_GB2312" w:eastAsia="仿宋_GB2312" w:hAnsi="Times New Roman" w:cs="Times New Roman" w:hint="eastAsia"/>
          <w:sz w:val="32"/>
          <w:szCs w:val="32"/>
        </w:rPr>
        <w:t>个人所得税咨询服务。就集团及各子公司员工薪酬、职工福利所涉及的个人所得税等问题提供咨询服务;</w:t>
      </w:r>
    </w:p>
    <w:p w14:paraId="31F035B9" w14:textId="0EFCA23F" w:rsidR="00122BF0" w:rsidRPr="004C0004" w:rsidRDefault="00122BF0" w:rsidP="00122BF0">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sidRPr="004C0004">
        <w:rPr>
          <w:rFonts w:ascii="仿宋_GB2312" w:eastAsia="仿宋_GB2312" w:hAnsi="Times New Roman" w:cs="Times New Roman" w:hint="eastAsia"/>
          <w:sz w:val="32"/>
          <w:szCs w:val="32"/>
        </w:rPr>
        <w:t>其他税务咨询服务。就集团及各子公司经营活动中所涉及的其他税种提供咨询服务，包括但不限于消费税、印花税、城市维护建设税、教育费附加、房产税、土地使用税等</w:t>
      </w:r>
      <w:r>
        <w:rPr>
          <w:rFonts w:ascii="仿宋_GB2312" w:eastAsia="仿宋_GB2312" w:hAnsi="Times New Roman" w:cs="Times New Roman" w:hint="eastAsia"/>
          <w:sz w:val="32"/>
          <w:szCs w:val="32"/>
        </w:rPr>
        <w:t>。</w:t>
      </w:r>
    </w:p>
    <w:p w14:paraId="6F9AD0EE" w14:textId="3BC828DF" w:rsidR="004C0004" w:rsidRPr="004C0004" w:rsidRDefault="00122BF0" w:rsidP="004C000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sidR="004C0004" w:rsidRPr="004C0004">
        <w:rPr>
          <w:rFonts w:ascii="仿宋_GB2312" w:eastAsia="仿宋_GB2312" w:hAnsi="Times New Roman" w:cs="Times New Roman" w:hint="eastAsia"/>
          <w:sz w:val="32"/>
          <w:szCs w:val="32"/>
        </w:rPr>
        <w:t>.所得税汇算清缴咨询报告出具。就集团及各子公司所得税汇算清缴时需要填报</w:t>
      </w:r>
      <w:proofErr w:type="gramStart"/>
      <w:r w:rsidR="004C0004" w:rsidRPr="004C0004">
        <w:rPr>
          <w:rFonts w:ascii="仿宋_GB2312" w:eastAsia="仿宋_GB2312" w:hAnsi="Times New Roman" w:cs="Times New Roman" w:hint="eastAsia"/>
          <w:sz w:val="32"/>
          <w:szCs w:val="32"/>
        </w:rPr>
        <w:t>的套表出具</w:t>
      </w:r>
      <w:proofErr w:type="gramEnd"/>
      <w:r w:rsidR="004C0004" w:rsidRPr="004C0004">
        <w:rPr>
          <w:rFonts w:ascii="仿宋_GB2312" w:eastAsia="仿宋_GB2312" w:hAnsi="Times New Roman" w:cs="Times New Roman" w:hint="eastAsia"/>
          <w:sz w:val="32"/>
          <w:szCs w:val="32"/>
        </w:rPr>
        <w:t>报告</w:t>
      </w:r>
      <w:r>
        <w:rPr>
          <w:rFonts w:ascii="仿宋_GB2312" w:eastAsia="仿宋_GB2312" w:hAnsi="Times New Roman" w:cs="Times New Roman" w:hint="eastAsia"/>
          <w:sz w:val="32"/>
          <w:szCs w:val="32"/>
        </w:rPr>
        <w:t>。</w:t>
      </w:r>
    </w:p>
    <w:p w14:paraId="3C9A265C" w14:textId="228A4490" w:rsidR="004C0004" w:rsidRPr="00122BF0" w:rsidRDefault="00122BF0" w:rsidP="004C000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w:t>
      </w:r>
      <w:r w:rsidR="004C0004" w:rsidRPr="004C0004">
        <w:rPr>
          <w:rFonts w:ascii="仿宋_GB2312" w:eastAsia="仿宋_GB2312" w:hAnsi="Times New Roman" w:cs="Times New Roman" w:hint="eastAsia"/>
          <w:sz w:val="32"/>
          <w:szCs w:val="32"/>
        </w:rPr>
        <w:t>.税收优惠</w:t>
      </w:r>
      <w:r w:rsidR="00F5782F" w:rsidRPr="00122BF0">
        <w:rPr>
          <w:rFonts w:ascii="仿宋_GB2312" w:eastAsia="仿宋_GB2312" w:hAnsi="Times New Roman" w:cs="Times New Roman"/>
          <w:sz w:val="32"/>
          <w:szCs w:val="32"/>
        </w:rPr>
        <w:t>、税收法规</w:t>
      </w:r>
      <w:r w:rsidR="004C0004" w:rsidRPr="004C0004">
        <w:rPr>
          <w:rFonts w:ascii="仿宋_GB2312" w:eastAsia="仿宋_GB2312" w:hAnsi="Times New Roman" w:cs="Times New Roman" w:hint="eastAsia"/>
          <w:sz w:val="32"/>
          <w:szCs w:val="32"/>
        </w:rPr>
        <w:t>咨询服务。就集团及各子公司经营业务适用各种税收优惠条件判定、审批和备案程序提供相应的税务咨询服务，如有必要，需协助办理</w:t>
      </w:r>
      <w:r w:rsidR="00F5782F">
        <w:rPr>
          <w:rFonts w:ascii="仿宋_GB2312" w:eastAsia="仿宋_GB2312" w:hAnsi="Times New Roman" w:cs="Times New Roman" w:hint="eastAsia"/>
          <w:sz w:val="32"/>
          <w:szCs w:val="32"/>
        </w:rPr>
        <w:t>。</w:t>
      </w:r>
    </w:p>
    <w:p w14:paraId="00BE6427" w14:textId="56031BD8" w:rsidR="004C0004" w:rsidRPr="004C0004" w:rsidRDefault="00240644" w:rsidP="004C000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w:t>
      </w:r>
      <w:r w:rsidR="004C0004" w:rsidRPr="004C0004">
        <w:rPr>
          <w:rFonts w:ascii="仿宋_GB2312" w:eastAsia="仿宋_GB2312" w:hAnsi="Times New Roman" w:cs="Times New Roman" w:hint="eastAsia"/>
          <w:sz w:val="32"/>
          <w:szCs w:val="32"/>
        </w:rPr>
        <w:t>.根据需要，前往指定地现场办公</w:t>
      </w:r>
      <w:r w:rsidR="00F5782F" w:rsidRPr="00F5782F">
        <w:rPr>
          <w:rFonts w:ascii="仿宋_GB2312" w:eastAsia="仿宋_GB2312" w:hAnsi="Times New Roman" w:cs="Times New Roman" w:hint="eastAsia"/>
          <w:sz w:val="32"/>
          <w:szCs w:val="32"/>
        </w:rPr>
        <w:t>，或远程提供填报指导</w:t>
      </w:r>
      <w:r w:rsidR="004C0004" w:rsidRPr="004C0004">
        <w:rPr>
          <w:rFonts w:ascii="仿宋_GB2312" w:eastAsia="仿宋_GB2312" w:hAnsi="Times New Roman" w:cs="Times New Roman" w:hint="eastAsia"/>
          <w:sz w:val="32"/>
          <w:szCs w:val="32"/>
        </w:rPr>
        <w:t>，协助集团及名子公司进行纳税申报、税务登记等日常业务</w:t>
      </w:r>
      <w:r>
        <w:rPr>
          <w:rFonts w:ascii="仿宋_GB2312" w:eastAsia="仿宋_GB2312" w:hAnsi="Times New Roman" w:cs="Times New Roman" w:hint="eastAsia"/>
          <w:sz w:val="32"/>
          <w:szCs w:val="32"/>
        </w:rPr>
        <w:t>。</w:t>
      </w:r>
    </w:p>
    <w:p w14:paraId="2314DFA5" w14:textId="1AFF0F3E" w:rsidR="004C0004" w:rsidRPr="004C0004" w:rsidRDefault="00240644" w:rsidP="004C000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w:t>
      </w:r>
      <w:r w:rsidR="004C0004" w:rsidRPr="004C0004">
        <w:rPr>
          <w:rFonts w:ascii="仿宋_GB2312" w:eastAsia="仿宋_GB2312" w:hAnsi="Times New Roman" w:cs="Times New Roman" w:hint="eastAsia"/>
          <w:sz w:val="32"/>
          <w:szCs w:val="32"/>
        </w:rPr>
        <w:t>.每月提供税收法规、政策更新服务，将最新发布的税收法规、政策汇总提供给集团及各子公司</w:t>
      </w:r>
      <w:r>
        <w:rPr>
          <w:rFonts w:ascii="仿宋_GB2312" w:eastAsia="仿宋_GB2312" w:hAnsi="Times New Roman" w:cs="Times New Roman" w:hint="eastAsia"/>
          <w:sz w:val="32"/>
          <w:szCs w:val="32"/>
        </w:rPr>
        <w:t>。</w:t>
      </w:r>
    </w:p>
    <w:p w14:paraId="72D48E9D" w14:textId="3466CC32" w:rsidR="004C0004" w:rsidRPr="004C0004" w:rsidRDefault="00240644" w:rsidP="004C000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8</w:t>
      </w:r>
      <w:r w:rsidR="004C0004" w:rsidRPr="004C0004">
        <w:rPr>
          <w:rFonts w:ascii="仿宋_GB2312" w:eastAsia="仿宋_GB2312" w:hAnsi="Times New Roman" w:cs="Times New Roman" w:hint="eastAsia"/>
          <w:sz w:val="32"/>
          <w:szCs w:val="32"/>
        </w:rPr>
        <w:t>.每年向集团及各子公司提供四次税务相关培训</w:t>
      </w:r>
      <w:r>
        <w:rPr>
          <w:rFonts w:ascii="仿宋_GB2312" w:eastAsia="仿宋_GB2312" w:hAnsi="Times New Roman" w:cs="Times New Roman" w:hint="eastAsia"/>
          <w:sz w:val="32"/>
          <w:szCs w:val="32"/>
        </w:rPr>
        <w:t>。</w:t>
      </w:r>
    </w:p>
    <w:p w14:paraId="5F7001ED" w14:textId="333AC2E4" w:rsidR="004C0004" w:rsidRDefault="00240644" w:rsidP="004C000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9</w:t>
      </w:r>
      <w:r w:rsidR="004C0004" w:rsidRPr="004C0004">
        <w:rPr>
          <w:rFonts w:ascii="仿宋_GB2312" w:eastAsia="仿宋_GB2312" w:hAnsi="Times New Roman" w:cs="Times New Roman" w:hint="eastAsia"/>
          <w:sz w:val="32"/>
          <w:szCs w:val="32"/>
        </w:rPr>
        <w:t>.其他相关日常服务。</w:t>
      </w:r>
    </w:p>
    <w:sectPr w:rsidR="004C0004" w:rsidSect="004C0004">
      <w:type w:val="continuous"/>
      <w:pgSz w:w="11900" w:h="16840"/>
      <w:pgMar w:top="2098" w:right="1474" w:bottom="1985" w:left="1588" w:header="851" w:footer="992" w:gutter="0"/>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053D4" w14:textId="77777777" w:rsidR="00260ACB" w:rsidRDefault="00260ACB" w:rsidP="001C7EB4">
      <w:pPr>
        <w:spacing w:after="0" w:line="240" w:lineRule="auto"/>
      </w:pPr>
      <w:r>
        <w:separator/>
      </w:r>
    </w:p>
  </w:endnote>
  <w:endnote w:type="continuationSeparator" w:id="0">
    <w:p w14:paraId="5D7FCD77" w14:textId="77777777" w:rsidR="00260ACB" w:rsidRDefault="00260ACB" w:rsidP="001C7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Brush Script MT"/>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F2514" w14:textId="77777777" w:rsidR="00260ACB" w:rsidRDefault="00260ACB" w:rsidP="001C7EB4">
      <w:pPr>
        <w:spacing w:after="0" w:line="240" w:lineRule="auto"/>
      </w:pPr>
      <w:r>
        <w:separator/>
      </w:r>
    </w:p>
  </w:footnote>
  <w:footnote w:type="continuationSeparator" w:id="0">
    <w:p w14:paraId="4551C9C5" w14:textId="77777777" w:rsidR="00260ACB" w:rsidRDefault="00260ACB" w:rsidP="001C7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1A39"/>
    <w:multiLevelType w:val="singleLevel"/>
    <w:tmpl w:val="39A41A39"/>
    <w:lvl w:ilvl="0">
      <w:start w:val="1"/>
      <w:numFmt w:val="chineseCounting"/>
      <w:suff w:val="nothing"/>
      <w:lvlText w:val="%1、"/>
      <w:lvlJc w:val="left"/>
      <w:rPr>
        <w:rFonts w:hint="eastAsia"/>
      </w:rPr>
    </w:lvl>
  </w:abstractNum>
  <w:num w:numId="1" w16cid:durableId="61645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hideSpellingErrors/>
  <w:hideGrammaticalErrors/>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B4"/>
    <w:rsid w:val="00122BF0"/>
    <w:rsid w:val="001C7EB4"/>
    <w:rsid w:val="00240644"/>
    <w:rsid w:val="00260ACB"/>
    <w:rsid w:val="004A58C8"/>
    <w:rsid w:val="004C0004"/>
    <w:rsid w:val="00663CD3"/>
    <w:rsid w:val="006A5CC9"/>
    <w:rsid w:val="008934B5"/>
    <w:rsid w:val="00CA6C12"/>
    <w:rsid w:val="00D73E38"/>
    <w:rsid w:val="00E22960"/>
    <w:rsid w:val="00F57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94FA7"/>
  <w15:docId w15:val="{5E52B494-CDAA-41D2-A187-1A81C5B8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7EB4"/>
    <w:pP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1C7EB4"/>
    <w:rPr>
      <w:sz w:val="18"/>
      <w:szCs w:val="18"/>
    </w:rPr>
  </w:style>
  <w:style w:type="paragraph" w:styleId="a6">
    <w:name w:val="footer"/>
    <w:basedOn w:val="a"/>
    <w:link w:val="a7"/>
    <w:uiPriority w:val="99"/>
    <w:unhideWhenUsed/>
    <w:rsid w:val="001C7EB4"/>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1C7E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田然</dc:creator>
  <cp:keywords/>
  <dc:description/>
  <cp:lastModifiedBy>田然</cp:lastModifiedBy>
  <cp:revision>5</cp:revision>
  <dcterms:created xsi:type="dcterms:W3CDTF">2024-07-04T09:39:00Z</dcterms:created>
  <dcterms:modified xsi:type="dcterms:W3CDTF">2024-07-05T08:16:00Z</dcterms:modified>
</cp:coreProperties>
</file>