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E48">
      <w:pPr>
        <w:tabs>
          <w:tab w:val="left" w:pos="895"/>
          <w:tab w:val="center" w:pos="4482"/>
        </w:tabs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附件1</w:t>
      </w:r>
    </w:p>
    <w:p w14:paraId="0580A6F7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tbl>
      <w:tblPr>
        <w:tblStyle w:val="6"/>
        <w:tblpPr w:leftFromText="180" w:rightFromText="180" w:vertAnchor="text" w:horzAnchor="page" w:tblpX="1994" w:tblpY="554"/>
        <w:tblOverlap w:val="never"/>
        <w:tblW w:w="8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72"/>
        <w:gridCol w:w="5968"/>
      </w:tblGrid>
      <w:tr w14:paraId="0127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dxa"/>
            <w:noWrap w:val="0"/>
            <w:vAlign w:val="center"/>
          </w:tcPr>
          <w:p w14:paraId="093A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374F2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服务类别</w:t>
            </w:r>
          </w:p>
        </w:tc>
        <w:tc>
          <w:tcPr>
            <w:tcW w:w="5968" w:type="dxa"/>
            <w:noWrap w:val="0"/>
            <w:vAlign w:val="center"/>
          </w:tcPr>
          <w:p w14:paraId="4029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服务内容</w:t>
            </w:r>
          </w:p>
        </w:tc>
      </w:tr>
      <w:tr w14:paraId="49D0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69" w:type="dxa"/>
            <w:noWrap w:val="0"/>
            <w:vAlign w:val="center"/>
          </w:tcPr>
          <w:p w14:paraId="4C04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72" w:type="dxa"/>
            <w:noWrap w:val="0"/>
            <w:vAlign w:val="center"/>
          </w:tcPr>
          <w:p w14:paraId="76FC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双重预防机制建设咨询服务</w:t>
            </w:r>
          </w:p>
        </w:tc>
        <w:tc>
          <w:tcPr>
            <w:tcW w:w="5968" w:type="dxa"/>
            <w:noWrap w:val="0"/>
            <w:vAlign w:val="center"/>
          </w:tcPr>
          <w:p w14:paraId="6FDB4E67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为青岛城市照明有限公司双重预防机制建设提供咨询服务（包括勘察现场、梳理风险点清单、进行危险源辨识和风险评价、编制隐患排查清单和隐患排查表、双体系建设培训、制作设备设施类风险告知牌样式等）。</w:t>
            </w:r>
          </w:p>
        </w:tc>
      </w:tr>
      <w:tr w14:paraId="108A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69" w:type="dxa"/>
            <w:noWrap w:val="0"/>
            <w:vAlign w:val="center"/>
          </w:tcPr>
          <w:p w14:paraId="7715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72" w:type="dxa"/>
            <w:noWrap w:val="0"/>
            <w:vAlign w:val="center"/>
          </w:tcPr>
          <w:p w14:paraId="5F3D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安全管理制度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全员安全生产责任清单修订咨询服务</w:t>
            </w:r>
          </w:p>
        </w:tc>
        <w:tc>
          <w:tcPr>
            <w:tcW w:w="5968" w:type="dxa"/>
            <w:noWrap w:val="0"/>
            <w:vAlign w:val="center"/>
          </w:tcPr>
          <w:p w14:paraId="7C72C76C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针对目前青岛城市照明有限公司现有的安全管理制度、全员安全生产责任清单，根据实际运行情况和法律法规、标准规范的更新，为青岛城市照明有限公司安全管理制度、全员安全生产责任清单修订提供咨询服务。</w:t>
            </w:r>
          </w:p>
        </w:tc>
      </w:tr>
      <w:tr w14:paraId="47BE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noWrap w:val="0"/>
            <w:vAlign w:val="center"/>
          </w:tcPr>
          <w:p w14:paraId="10CF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72" w:type="dxa"/>
            <w:noWrap w:val="0"/>
            <w:vAlign w:val="center"/>
          </w:tcPr>
          <w:p w14:paraId="00F1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应急预案修编咨询服务</w:t>
            </w:r>
          </w:p>
        </w:tc>
        <w:tc>
          <w:tcPr>
            <w:tcW w:w="5968" w:type="dxa"/>
            <w:noWrap w:val="0"/>
            <w:vAlign w:val="center"/>
          </w:tcPr>
          <w:p w14:paraId="31A17B0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根据安全风险、组织机构、应急物资等变更情况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，为青岛城市照明有限公司风险评估、应急资源调查及应急预案修编提供咨询服务。</w:t>
            </w:r>
          </w:p>
        </w:tc>
      </w:tr>
    </w:tbl>
    <w:p w14:paraId="15A734C6">
      <w:pPr>
        <w:pStyle w:val="2"/>
        <w:rPr>
          <w:rFonts w:hint="eastAsia"/>
          <w:lang w:val="en-US" w:eastAsia="zh-CN"/>
        </w:rPr>
      </w:pPr>
    </w:p>
    <w:p w14:paraId="6DA08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</w:t>
      </w:r>
    </w:p>
    <w:p w14:paraId="74D31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F4A9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      </w:t>
      </w:r>
    </w:p>
    <w:p w14:paraId="4014217E">
      <w:pPr>
        <w:widowControl/>
        <w:jc w:val="right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YzIwMWNhM2MzZjQwM2MzYzIyY2VkYTc0ZDYwZTMifQ=="/>
  </w:docVars>
  <w:rsids>
    <w:rsidRoot w:val="00051CE9"/>
    <w:rsid w:val="00026AC1"/>
    <w:rsid w:val="00051CE9"/>
    <w:rsid w:val="000E7BD9"/>
    <w:rsid w:val="001366B6"/>
    <w:rsid w:val="001B2E54"/>
    <w:rsid w:val="002B195C"/>
    <w:rsid w:val="00373835"/>
    <w:rsid w:val="00460003"/>
    <w:rsid w:val="007D7AF9"/>
    <w:rsid w:val="00815B7B"/>
    <w:rsid w:val="00B66930"/>
    <w:rsid w:val="00B77EBA"/>
    <w:rsid w:val="00B857FD"/>
    <w:rsid w:val="00C35224"/>
    <w:rsid w:val="00C647D1"/>
    <w:rsid w:val="00DF24BF"/>
    <w:rsid w:val="00F931F7"/>
    <w:rsid w:val="017046E5"/>
    <w:rsid w:val="0424033F"/>
    <w:rsid w:val="07EC2E3C"/>
    <w:rsid w:val="0B2D2264"/>
    <w:rsid w:val="0B6C304D"/>
    <w:rsid w:val="0C4C40A8"/>
    <w:rsid w:val="125337BD"/>
    <w:rsid w:val="144731A8"/>
    <w:rsid w:val="164975CE"/>
    <w:rsid w:val="191A1185"/>
    <w:rsid w:val="1AAC1FB7"/>
    <w:rsid w:val="1C770FD3"/>
    <w:rsid w:val="1DA968D6"/>
    <w:rsid w:val="1DBC0AF5"/>
    <w:rsid w:val="1EFB0297"/>
    <w:rsid w:val="23FE689F"/>
    <w:rsid w:val="248143B0"/>
    <w:rsid w:val="27EC2DF2"/>
    <w:rsid w:val="27F531EF"/>
    <w:rsid w:val="2C0803DB"/>
    <w:rsid w:val="2D8C6044"/>
    <w:rsid w:val="2F2A17D6"/>
    <w:rsid w:val="33801A6A"/>
    <w:rsid w:val="35A84F9E"/>
    <w:rsid w:val="35B30592"/>
    <w:rsid w:val="37450315"/>
    <w:rsid w:val="3A122DCF"/>
    <w:rsid w:val="3C93555E"/>
    <w:rsid w:val="3EED7835"/>
    <w:rsid w:val="40B77A89"/>
    <w:rsid w:val="41874A60"/>
    <w:rsid w:val="41DF2AEE"/>
    <w:rsid w:val="42EF2BC5"/>
    <w:rsid w:val="46E93AC7"/>
    <w:rsid w:val="49885213"/>
    <w:rsid w:val="4A841915"/>
    <w:rsid w:val="4B221C9D"/>
    <w:rsid w:val="4EAA54E0"/>
    <w:rsid w:val="4F7039BA"/>
    <w:rsid w:val="50A32F39"/>
    <w:rsid w:val="51F6353C"/>
    <w:rsid w:val="577A33AF"/>
    <w:rsid w:val="5B7F7C80"/>
    <w:rsid w:val="5D7B3E1B"/>
    <w:rsid w:val="632F68AE"/>
    <w:rsid w:val="657A7F14"/>
    <w:rsid w:val="66535B94"/>
    <w:rsid w:val="681C38A5"/>
    <w:rsid w:val="68376D9B"/>
    <w:rsid w:val="70AF02E3"/>
    <w:rsid w:val="70E351A5"/>
    <w:rsid w:val="715A74F2"/>
    <w:rsid w:val="72362170"/>
    <w:rsid w:val="72550C8C"/>
    <w:rsid w:val="72E27499"/>
    <w:rsid w:val="7D211FA1"/>
    <w:rsid w:val="7E5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560" w:lineRule="exact"/>
      <w:ind w:firstLine="883" w:firstLineChars="200"/>
    </w:pPr>
    <w:rPr>
      <w:rFonts w:ascii="仿宋_GB2312" w:hAnsi="仿宋_GB2312"/>
      <w:szCs w:val="22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_正文"/>
    <w:basedOn w:val="1"/>
    <w:autoRedefine/>
    <w:qFormat/>
    <w:uiPriority w:val="99"/>
    <w:pPr>
      <w:tabs>
        <w:tab w:val="left" w:pos="2574"/>
      </w:tabs>
      <w:overflowPunct w:val="0"/>
      <w:topLinePunct/>
      <w:spacing w:line="560" w:lineRule="exact"/>
      <w:ind w:firstLine="480" w:firstLineChars="200"/>
      <w:jc w:val="left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302</Characters>
  <Lines>11</Lines>
  <Paragraphs>3</Paragraphs>
  <TotalTime>5</TotalTime>
  <ScaleCrop>false</ScaleCrop>
  <LinksUpToDate>false</LinksUpToDate>
  <CharactersWithSpaces>367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2023-03-30T08:56:00Z</dcterms:created>
  <dc:creator>z</dc:creator>
  <cp:lastModifiedBy>张江涛</cp:lastModifiedBy>
  <cp:lastPrinted>2023-12-13T04:27:00Z</cp:lastPrinted>
  <dcterms:modified xsi:type="dcterms:W3CDTF">2025-08-11T00:53:15Z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36BE5381807C4EAD8874411935C980D3_13</vt:lpwstr>
  </property>
  <property fmtid="{D5CDD505-2E9C-101B-9397-08002B2CF9AE}" pid="4" name="KSOTemplateDocerSaveRecord">
    <vt:lpwstr>eyJoZGlkIjoiMzVjOTBkYjVlZDU5ZTk3ZDIwZDI1NjhiNjRmOTgzYTUiLCJ1c2VySWQiOiIyNjA0MTcyNjUifQ==</vt:lpwstr>
  </property>
</Properties>
</file>