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CFA54">
      <w:pPr>
        <w:widowControl/>
        <w:spacing w:line="56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服务响应承诺表</w:t>
      </w:r>
      <w:bookmarkStart w:id="0" w:name="_GoBack"/>
      <w:bookmarkEnd w:id="0"/>
    </w:p>
    <w:p w14:paraId="0BAC3643">
      <w:pPr>
        <w:widowControl/>
        <w:spacing w:line="56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</w:p>
    <w:tbl>
      <w:tblPr>
        <w:tblStyle w:val="11"/>
        <w:tblW w:w="8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278"/>
        <w:gridCol w:w="3799"/>
      </w:tblGrid>
      <w:tr w14:paraId="5FD967BB">
        <w:trPr>
          <w:jc w:val="center"/>
        </w:trPr>
        <w:tc>
          <w:tcPr>
            <w:tcW w:w="1112" w:type="dxa"/>
            <w:tcMar>
              <w:top w:w="100" w:type="dxa"/>
              <w:right w:w="100" w:type="dxa"/>
            </w:tcMar>
            <w:vAlign w:val="center"/>
          </w:tcPr>
          <w:p w14:paraId="6936C2D4">
            <w:pPr>
              <w:widowControl/>
              <w:autoSpaceDE w:val="0"/>
              <w:autoSpaceDN w:val="0"/>
              <w:adjustRightInd w:val="0"/>
              <w:spacing w:before="120"/>
              <w:jc w:val="center"/>
              <w:rPr>
                <w:rFonts w:ascii="黑体" w:hAnsi="黑体" w:eastAsia="黑体"/>
                <w:kern w:val="1"/>
                <w:sz w:val="22"/>
                <w:szCs w:val="21"/>
              </w:rPr>
            </w:pPr>
            <w:r>
              <w:rPr>
                <w:rFonts w:hint="eastAsia" w:ascii="黑体" w:hAnsi="黑体" w:eastAsia="黑体" w:cs="仿宋"/>
                <w:kern w:val="1"/>
                <w:sz w:val="22"/>
                <w:szCs w:val="21"/>
              </w:rPr>
              <w:t>项目</w:t>
            </w:r>
          </w:p>
        </w:tc>
        <w:tc>
          <w:tcPr>
            <w:tcW w:w="3278" w:type="dxa"/>
            <w:tcMar>
              <w:top w:w="100" w:type="dxa"/>
              <w:right w:w="100" w:type="dxa"/>
            </w:tcMar>
            <w:vAlign w:val="center"/>
          </w:tcPr>
          <w:p w14:paraId="68ED7BFB">
            <w:pPr>
              <w:widowControl/>
              <w:autoSpaceDE w:val="0"/>
              <w:autoSpaceDN w:val="0"/>
              <w:adjustRightInd w:val="0"/>
              <w:spacing w:before="120"/>
              <w:jc w:val="center"/>
              <w:rPr>
                <w:rFonts w:ascii="黑体" w:hAnsi="黑体" w:eastAsia="黑体"/>
                <w:kern w:val="1"/>
                <w:sz w:val="22"/>
                <w:szCs w:val="21"/>
              </w:rPr>
            </w:pPr>
            <w:r>
              <w:rPr>
                <w:rFonts w:hint="eastAsia" w:ascii="黑体" w:hAnsi="黑体" w:eastAsia="黑体" w:cs="仿宋"/>
                <w:kern w:val="1"/>
                <w:sz w:val="22"/>
                <w:szCs w:val="21"/>
              </w:rPr>
              <w:t>询价函要求</w:t>
            </w:r>
          </w:p>
        </w:tc>
        <w:tc>
          <w:tcPr>
            <w:tcW w:w="3799" w:type="dxa"/>
            <w:tcMar>
              <w:top w:w="100" w:type="dxa"/>
              <w:right w:w="100" w:type="dxa"/>
            </w:tcMar>
            <w:vAlign w:val="center"/>
          </w:tcPr>
          <w:p w14:paraId="64DCBFD3">
            <w:pPr>
              <w:widowControl/>
              <w:autoSpaceDE w:val="0"/>
              <w:autoSpaceDN w:val="0"/>
              <w:adjustRightInd w:val="0"/>
              <w:spacing w:before="120"/>
              <w:jc w:val="center"/>
              <w:rPr>
                <w:rFonts w:ascii="黑体" w:hAnsi="黑体" w:eastAsia="黑体"/>
                <w:kern w:val="1"/>
                <w:sz w:val="22"/>
                <w:szCs w:val="21"/>
              </w:rPr>
            </w:pPr>
            <w:r>
              <w:rPr>
                <w:rFonts w:hint="eastAsia" w:ascii="黑体" w:hAnsi="黑体" w:eastAsia="黑体" w:cs="仿宋"/>
                <w:kern w:val="1"/>
                <w:sz w:val="22"/>
                <w:szCs w:val="21"/>
              </w:rPr>
              <w:t>供应商的承诺或者说明</w:t>
            </w:r>
          </w:p>
        </w:tc>
      </w:tr>
      <w:tr w14:paraId="1E9F5542">
        <w:trPr>
          <w:trHeight w:val="90" w:hRule="atLeast"/>
          <w:jc w:val="center"/>
        </w:trPr>
        <w:tc>
          <w:tcPr>
            <w:tcW w:w="1112" w:type="dxa"/>
            <w:tcMar>
              <w:top w:w="100" w:type="dxa"/>
              <w:right w:w="100" w:type="dxa"/>
            </w:tcMar>
            <w:vAlign w:val="center"/>
          </w:tcPr>
          <w:p w14:paraId="5D8C7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  <w:lang w:val="en-US" w:eastAsia="zh-CN"/>
              </w:rPr>
              <w:t>资质</w:t>
            </w: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要求</w:t>
            </w:r>
          </w:p>
        </w:tc>
        <w:tc>
          <w:tcPr>
            <w:tcW w:w="3278" w:type="dxa"/>
            <w:tcMar>
              <w:top w:w="100" w:type="dxa"/>
              <w:right w:w="100" w:type="dxa"/>
            </w:tcMar>
          </w:tcPr>
          <w:p w14:paraId="57B80924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textAlignment w:val="auto"/>
              <w:rPr>
                <w:rFonts w:hint="default" w:ascii="仿宋_GB2312" w:hAnsi="仿宋" w:eastAsia="仿宋_GB2312"/>
                <w:kern w:val="1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2"/>
                <w:szCs w:val="21"/>
                <w:lang w:val="en-US" w:eastAsia="zh-CN" w:bidi="ar-SA"/>
              </w:rPr>
              <w:t>组织疗养活动的人员应具有旅游或疗（休）养从业资格，提供体检保健项目的应有医疗资质或医师执业资格。</w:t>
            </w:r>
            <w:r>
              <w:rPr>
                <w:rFonts w:hint="eastAsia" w:hAnsi="仿宋" w:cstheme="minorBidi"/>
                <w:kern w:val="2"/>
                <w:sz w:val="22"/>
                <w:szCs w:val="21"/>
                <w:lang w:val="en-US" w:eastAsia="zh-CN" w:bidi="ar-SA"/>
              </w:rPr>
              <w:t>需提供扫描件并加盖单位公章及近3个月社保证明。</w:t>
            </w: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4641E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line="280" w:lineRule="exact"/>
              <w:textAlignment w:val="auto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5B15D6A1">
        <w:trPr>
          <w:trHeight w:val="2200" w:hRule="atLeast"/>
          <w:jc w:val="center"/>
        </w:trPr>
        <w:tc>
          <w:tcPr>
            <w:tcW w:w="1112" w:type="dxa"/>
            <w:tcMar>
              <w:top w:w="100" w:type="dxa"/>
              <w:right w:w="100" w:type="dxa"/>
            </w:tcMar>
            <w:vAlign w:val="center"/>
          </w:tcPr>
          <w:p w14:paraId="2A2C7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default" w:ascii="仿宋_GB2312" w:hAnsi="仿宋" w:eastAsia="仿宋_GB2312"/>
                <w:kern w:val="1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  <w:lang w:val="en-US" w:eastAsia="zh-CN"/>
              </w:rPr>
              <w:t>疗养方案</w:t>
            </w:r>
          </w:p>
        </w:tc>
        <w:tc>
          <w:tcPr>
            <w:tcW w:w="3278" w:type="dxa"/>
            <w:tcMar>
              <w:top w:w="100" w:type="dxa"/>
              <w:right w:w="100" w:type="dxa"/>
            </w:tcMar>
          </w:tcPr>
          <w:p w14:paraId="11334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仿宋_GB2312" w:hAnsi="仿宋" w:eastAsia="仿宋_GB2312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  <w:lang w:val="en-US" w:eastAsia="zh-CN"/>
              </w:rPr>
              <w:t>《疗养实施方案》应包括疗养服务商主动联系和组织公司职工疗养的过程、机票（火车票）订购及接送机（车）交通运输、住宿标准、餐饮、各类疗养服务及费用、税费、保险等费用及相关服务项目安排。</w:t>
            </w: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0E803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line="280" w:lineRule="exact"/>
              <w:ind w:left="43"/>
              <w:textAlignment w:val="auto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0B30C424">
        <w:trPr>
          <w:trHeight w:val="1949" w:hRule="atLeast"/>
          <w:jc w:val="center"/>
        </w:trPr>
        <w:tc>
          <w:tcPr>
            <w:tcW w:w="1112" w:type="dxa"/>
            <w:tcMar>
              <w:top w:w="100" w:type="dxa"/>
              <w:right w:w="100" w:type="dxa"/>
            </w:tcMar>
            <w:vAlign w:val="center"/>
          </w:tcPr>
          <w:p w14:paraId="364E3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_GB2312" w:hAnsi="仿宋" w:eastAsia="仿宋_GB2312"/>
                <w:kern w:val="1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  <w:lang w:val="en-US" w:eastAsia="zh-CN"/>
              </w:rPr>
              <w:t>安全服务</w:t>
            </w:r>
          </w:p>
        </w:tc>
        <w:tc>
          <w:tcPr>
            <w:tcW w:w="3278" w:type="dxa"/>
            <w:tcMar>
              <w:top w:w="100" w:type="dxa"/>
              <w:right w:w="100" w:type="dxa"/>
            </w:tcMar>
          </w:tcPr>
          <w:p w14:paraId="6A6B7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_GB2312" w:hAnsi="仿宋" w:eastAsia="仿宋_GB2312"/>
                <w:kern w:val="1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  <w:lang w:val="en-US" w:eastAsia="zh-CN"/>
              </w:rPr>
              <w:t>确保疗养服务期间职工的人身财产安全，应制定应急保障措施（包括自然灾害、交通事故、治安事故、食物中毒、火灾事故等处置预案）。做好职工疗养舆情事件防范、处置工作</w:t>
            </w:r>
            <w:r>
              <w:rPr>
                <w:rFonts w:hint="eastAsia" w:ascii="仿宋_GB2312" w:hAnsi="仿宋" w:eastAsia="仿宋_GB2312"/>
                <w:sz w:val="22"/>
                <w:szCs w:val="21"/>
                <w:lang w:eastAsia="zh-CN"/>
              </w:rPr>
              <w:t>。</w:t>
            </w: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0DC00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line="280" w:lineRule="exact"/>
              <w:textAlignment w:val="auto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1A1CE6F3">
        <w:trPr>
          <w:trHeight w:val="2297" w:hRule="atLeast"/>
          <w:jc w:val="center"/>
        </w:trPr>
        <w:tc>
          <w:tcPr>
            <w:tcW w:w="1112" w:type="dxa"/>
            <w:tcMar>
              <w:top w:w="100" w:type="dxa"/>
              <w:right w:w="100" w:type="dxa"/>
            </w:tcMar>
            <w:vAlign w:val="center"/>
          </w:tcPr>
          <w:p w14:paraId="13A55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_GB2312" w:hAnsi="仿宋" w:eastAsia="仿宋_GB2312"/>
                <w:kern w:val="1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  <w:lang w:val="en-US" w:eastAsia="zh-CN"/>
              </w:rPr>
              <w:t>意外保险</w:t>
            </w:r>
          </w:p>
        </w:tc>
        <w:tc>
          <w:tcPr>
            <w:tcW w:w="3278" w:type="dxa"/>
            <w:tcMar>
              <w:top w:w="100" w:type="dxa"/>
              <w:right w:w="100" w:type="dxa"/>
            </w:tcMar>
          </w:tcPr>
          <w:p w14:paraId="565D3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仿宋_GB2312" w:hAnsi="仿宋" w:eastAsia="仿宋_GB2312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  <w:lang w:val="en-US" w:eastAsia="zh-CN"/>
              </w:rPr>
              <w:t>疗养服务机构必须为疗养职工提供购买人身意外保险的方案，人身意外伤亡险的最高赔付额度应不低于100万元/人，为出行职工购买的交通工具意外险的最高赔付额度应不低于15万元/人，购买团队急性病意外险等。</w:t>
            </w: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36917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line="280" w:lineRule="exact"/>
              <w:textAlignment w:val="auto"/>
              <w:rPr>
                <w:rFonts w:ascii="仿宋_GB2312" w:hAnsi="仿宋" w:eastAsia="仿宋_GB2312"/>
                <w:sz w:val="22"/>
                <w:szCs w:val="21"/>
              </w:rPr>
            </w:pPr>
          </w:p>
        </w:tc>
      </w:tr>
      <w:tr w14:paraId="67EB5093">
        <w:trPr>
          <w:trHeight w:val="1970" w:hRule="atLeast"/>
          <w:jc w:val="center"/>
        </w:trPr>
        <w:tc>
          <w:tcPr>
            <w:tcW w:w="1112" w:type="dxa"/>
            <w:tcMar>
              <w:top w:w="100" w:type="dxa"/>
              <w:right w:w="100" w:type="dxa"/>
            </w:tcMar>
            <w:vAlign w:val="center"/>
          </w:tcPr>
          <w:p w14:paraId="1D823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default" w:ascii="仿宋_GB2312" w:hAnsi="仿宋" w:eastAsia="仿宋_GB2312"/>
                <w:kern w:val="1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1"/>
                <w:sz w:val="22"/>
                <w:szCs w:val="21"/>
                <w:lang w:val="en-US" w:eastAsia="zh-CN"/>
              </w:rPr>
              <w:t>团队要求</w:t>
            </w:r>
          </w:p>
        </w:tc>
        <w:tc>
          <w:tcPr>
            <w:tcW w:w="3278" w:type="dxa"/>
            <w:tcMar>
              <w:top w:w="100" w:type="dxa"/>
              <w:right w:w="100" w:type="dxa"/>
            </w:tcMar>
          </w:tcPr>
          <w:p w14:paraId="152DE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_GB2312" w:hAnsi="仿宋" w:eastAsia="仿宋_GB2312"/>
                <w:kern w:val="1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kern w:val="1"/>
                <w:sz w:val="22"/>
                <w:szCs w:val="21"/>
                <w:lang w:val="en-US" w:eastAsia="zh-CN"/>
              </w:rPr>
              <w:t>为每一批次疗养团队，设置一对一的项目经理，主动对接服务范围，有专人负责疗养全程机票订购、保险购买、接送服务、医疗保健、应急服务等，并确保疗养过程中全程陪同</w:t>
            </w: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79468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line="280" w:lineRule="exact"/>
              <w:textAlignment w:val="auto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40443881">
        <w:trPr>
          <w:jc w:val="center"/>
        </w:trPr>
        <w:tc>
          <w:tcPr>
            <w:tcW w:w="1112" w:type="dxa"/>
            <w:shd w:val="clear" w:color="auto" w:fill="auto"/>
            <w:tcMar>
              <w:top w:w="100" w:type="dxa"/>
              <w:right w:w="100" w:type="dxa"/>
            </w:tcMar>
            <w:vAlign w:val="center"/>
          </w:tcPr>
          <w:p w14:paraId="1E5C8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default" w:ascii="仿宋_GB2312" w:hAnsi="仿宋" w:eastAsia="仿宋_GB2312" w:cs="仿宋"/>
                <w:kern w:val="1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  <w:lang w:val="en-US" w:eastAsia="zh-CN"/>
              </w:rPr>
              <w:t>食住行保障</w:t>
            </w:r>
          </w:p>
        </w:tc>
        <w:tc>
          <w:tcPr>
            <w:tcW w:w="3278" w:type="dxa"/>
            <w:shd w:val="clear" w:color="auto" w:fill="auto"/>
            <w:tcMar>
              <w:top w:w="100" w:type="dxa"/>
              <w:right w:w="100" w:type="dxa"/>
            </w:tcMar>
            <w:vAlign w:val="top"/>
          </w:tcPr>
          <w:p w14:paraId="34BD5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_GB2312" w:hAnsi="仿宋" w:eastAsia="仿宋_GB2312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  <w:lang w:val="en-US" w:eastAsia="zh-CN"/>
              </w:rPr>
              <w:t>就餐服务：菜品新鲜丰富，菜量充足，营养搭配均衡，适当安排疗养所在地特色美食；因往返交通原因不能提供正餐的，应主动做好临时餐饮安排。职工疗养过程中，需要在疗养基地以外就餐的，应选择有固定合作关系的正规餐饮机构，就餐标准应保持统一，严把饮食质量关，严防食物中毒事件的发生。</w:t>
            </w:r>
          </w:p>
          <w:p w14:paraId="3B917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_GB2312" w:hAnsi="仿宋" w:eastAsia="仿宋_GB2312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  <w:lang w:val="en-US" w:eastAsia="zh-CN"/>
              </w:rPr>
              <w:t>住宿服务：应提供符合相关规定、干净整洁、设施完备、管理规范、服务优质的职工疗养住宿条件，应安排单人单间住宿，提升职工睡眠质量和疗养体验。</w:t>
            </w:r>
          </w:p>
          <w:p w14:paraId="491EC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_GB2312" w:hAnsi="仿宋" w:eastAsia="仿宋_GB2312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  <w:lang w:val="en-US" w:eastAsia="zh-CN"/>
              </w:rPr>
              <w:t>交通服务：提供服务的交通工具必须满足国家强制安全要求，具有合法营运证件且足额投保并年检合格，车况良好、带有空调。疗养过程中，发生交通、疾病、外力等意外伤害时，提供必要的救助，协助治疗的先期陪护。</w:t>
            </w: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7B217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line="280" w:lineRule="exact"/>
              <w:textAlignment w:val="auto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6A8BAAA0">
        <w:trPr>
          <w:jc w:val="center"/>
        </w:trPr>
        <w:tc>
          <w:tcPr>
            <w:tcW w:w="1112" w:type="dxa"/>
            <w:shd w:val="clear" w:color="auto" w:fill="auto"/>
            <w:tcMar>
              <w:top w:w="100" w:type="dxa"/>
              <w:right w:w="100" w:type="dxa"/>
            </w:tcMar>
            <w:vAlign w:val="center"/>
          </w:tcPr>
          <w:p w14:paraId="3BC0E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仿宋_GB2312" w:hAnsi="仿宋" w:eastAsia="仿宋_GB2312" w:cstheme="minorBidi"/>
                <w:kern w:val="1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付款条件</w:t>
            </w:r>
          </w:p>
        </w:tc>
        <w:tc>
          <w:tcPr>
            <w:tcW w:w="3278" w:type="dxa"/>
            <w:shd w:val="clear" w:color="auto" w:fill="auto"/>
            <w:tcMar>
              <w:top w:w="100" w:type="dxa"/>
              <w:right w:w="100" w:type="dxa"/>
            </w:tcMar>
            <w:vAlign w:val="top"/>
          </w:tcPr>
          <w:p w14:paraId="277FF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_GB2312" w:hAnsi="仿宋" w:eastAsia="仿宋_GB2312" w:cstheme="minorBidi"/>
                <w:kern w:val="1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根据</w:t>
            </w:r>
            <w:r>
              <w:rPr>
                <w:rFonts w:hint="eastAsia" w:ascii="仿宋_GB2312" w:hAnsi="仿宋" w:eastAsia="仿宋_GB2312"/>
                <w:sz w:val="22"/>
                <w:szCs w:val="21"/>
                <w:lang w:val="en-US" w:eastAsia="zh-CN"/>
              </w:rPr>
              <w:t>疗养批次安排，每批次疗养结束后30日内付款。</w:t>
            </w: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3F7C3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line="280" w:lineRule="exact"/>
              <w:textAlignment w:val="auto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</w:tr>
    </w:tbl>
    <w:p w14:paraId="5C522E88">
      <w:pPr>
        <w:wordWrap w:val="0"/>
        <w:spacing w:line="560" w:lineRule="exact"/>
        <w:ind w:firstLine="4560" w:firstLineChars="1900"/>
        <w:jc w:val="righ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供应商全称（公章）:             </w:t>
      </w:r>
    </w:p>
    <w:p w14:paraId="5A0F2396">
      <w:pPr>
        <w:wordWrap w:val="0"/>
        <w:spacing w:line="560" w:lineRule="exact"/>
        <w:ind w:firstLine="5040" w:firstLineChars="2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24"/>
        </w:rPr>
        <w:t>日期：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 xml:space="preserve">  年  月  日</w:t>
      </w:r>
      <w:r>
        <w:rPr>
          <w:rFonts w:hint="eastAsia" w:ascii="仿宋_GB2312" w:hAnsi="仿宋" w:eastAsia="仿宋_GB2312" w:cs="仿宋"/>
          <w:sz w:val="24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  <w:embedRegular r:id="rId1" w:fontKey="{B113A9EE-A4A2-9E91-3A37-D268B5A497C0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FDE9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70C7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670C7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67190"/>
    <w:multiLevelType w:val="multilevel"/>
    <w:tmpl w:val="18467190"/>
    <w:lvl w:ilvl="0" w:tentative="0">
      <w:start w:val="1"/>
      <w:numFmt w:val="chineseCountingThousand"/>
      <w:pStyle w:val="23"/>
      <w:suff w:val="nothing"/>
      <w:lvlText w:val="(%1)"/>
      <w:lvlJc w:val="left"/>
      <w:pPr>
        <w:ind w:left="1555" w:hanging="420"/>
      </w:pPr>
      <w:rPr>
        <w:rFonts w:hint="eastAsia" w:ascii="楷体" w:hAnsi="楷体" w:eastAsia="楷体"/>
      </w:rPr>
    </w:lvl>
    <w:lvl w:ilvl="1" w:tentative="0">
      <w:start w:val="2"/>
      <w:numFmt w:val="japaneseCounting"/>
      <w:lvlText w:val="%2、"/>
      <w:lvlJc w:val="left"/>
      <w:pPr>
        <w:ind w:left="17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82256B5"/>
    <w:multiLevelType w:val="multilevel"/>
    <w:tmpl w:val="582256B5"/>
    <w:lvl w:ilvl="0" w:tentative="0">
      <w:start w:val="1"/>
      <w:numFmt w:val="chineseCountingThousand"/>
      <w:pStyle w:val="21"/>
      <w:suff w:val="nothing"/>
      <w:lvlText w:val="%1、"/>
      <w:lvlJc w:val="left"/>
      <w:pPr>
        <w:ind w:left="340" w:hanging="140"/>
      </w:pPr>
      <w:rPr>
        <w:rFonts w:hint="eastAsia"/>
      </w:rPr>
    </w:lvl>
    <w:lvl w:ilvl="1" w:tentative="0">
      <w:start w:val="1"/>
      <w:numFmt w:val="japaneseCounting"/>
      <w:lvlText w:val="%2、"/>
      <w:lvlJc w:val="left"/>
      <w:pPr>
        <w:ind w:left="13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NmEzMjA2MDdhZDgwZGU4NWNhYjBiZjZiOTAyNDIifQ=="/>
  </w:docVars>
  <w:rsids>
    <w:rsidRoot w:val="004C7775"/>
    <w:rsid w:val="0039477C"/>
    <w:rsid w:val="004618A6"/>
    <w:rsid w:val="004C7775"/>
    <w:rsid w:val="00550BF8"/>
    <w:rsid w:val="00565FAB"/>
    <w:rsid w:val="005C088A"/>
    <w:rsid w:val="00744013"/>
    <w:rsid w:val="00773F97"/>
    <w:rsid w:val="007E7C0A"/>
    <w:rsid w:val="00BB15B5"/>
    <w:rsid w:val="00C642F5"/>
    <w:rsid w:val="00D9611D"/>
    <w:rsid w:val="00D97527"/>
    <w:rsid w:val="00EB34FB"/>
    <w:rsid w:val="014B38AD"/>
    <w:rsid w:val="01F63728"/>
    <w:rsid w:val="021A3255"/>
    <w:rsid w:val="0384683E"/>
    <w:rsid w:val="038F164C"/>
    <w:rsid w:val="039874D0"/>
    <w:rsid w:val="04886D64"/>
    <w:rsid w:val="06043E9E"/>
    <w:rsid w:val="0625199D"/>
    <w:rsid w:val="062B50A5"/>
    <w:rsid w:val="06D70DB4"/>
    <w:rsid w:val="06F95A58"/>
    <w:rsid w:val="07A80859"/>
    <w:rsid w:val="08A4162E"/>
    <w:rsid w:val="08CF3314"/>
    <w:rsid w:val="092B0A17"/>
    <w:rsid w:val="09393B0F"/>
    <w:rsid w:val="09502F56"/>
    <w:rsid w:val="09AA05D1"/>
    <w:rsid w:val="09DC0C8E"/>
    <w:rsid w:val="09E813E1"/>
    <w:rsid w:val="09FA3BA3"/>
    <w:rsid w:val="0A434869"/>
    <w:rsid w:val="0AA47FAD"/>
    <w:rsid w:val="0AE655DF"/>
    <w:rsid w:val="0B5F05A3"/>
    <w:rsid w:val="0BE659E2"/>
    <w:rsid w:val="0C0A1AE2"/>
    <w:rsid w:val="0C8573BB"/>
    <w:rsid w:val="0D444B80"/>
    <w:rsid w:val="0E48761E"/>
    <w:rsid w:val="0EAE0E4B"/>
    <w:rsid w:val="0F426E89"/>
    <w:rsid w:val="0FAE2E9D"/>
    <w:rsid w:val="0FD541B5"/>
    <w:rsid w:val="10181BC9"/>
    <w:rsid w:val="10F95BF0"/>
    <w:rsid w:val="12153097"/>
    <w:rsid w:val="1234541B"/>
    <w:rsid w:val="12797C45"/>
    <w:rsid w:val="1292638E"/>
    <w:rsid w:val="13423344"/>
    <w:rsid w:val="13592492"/>
    <w:rsid w:val="13757811"/>
    <w:rsid w:val="13FC4407"/>
    <w:rsid w:val="14027543"/>
    <w:rsid w:val="14263231"/>
    <w:rsid w:val="147026FF"/>
    <w:rsid w:val="149F4D34"/>
    <w:rsid w:val="15737AE9"/>
    <w:rsid w:val="16450281"/>
    <w:rsid w:val="16675DBB"/>
    <w:rsid w:val="16D24DCB"/>
    <w:rsid w:val="173914CE"/>
    <w:rsid w:val="17FD6AD0"/>
    <w:rsid w:val="18697B91"/>
    <w:rsid w:val="1899674A"/>
    <w:rsid w:val="194E6FA5"/>
    <w:rsid w:val="1A412BDE"/>
    <w:rsid w:val="1A7953D3"/>
    <w:rsid w:val="1AD3218C"/>
    <w:rsid w:val="1C0F36EE"/>
    <w:rsid w:val="1C783305"/>
    <w:rsid w:val="1DB07C92"/>
    <w:rsid w:val="1EA64AB3"/>
    <w:rsid w:val="1FE87383"/>
    <w:rsid w:val="20BD10F1"/>
    <w:rsid w:val="215838C6"/>
    <w:rsid w:val="215E3DDC"/>
    <w:rsid w:val="221548E5"/>
    <w:rsid w:val="22274D44"/>
    <w:rsid w:val="22370D00"/>
    <w:rsid w:val="228E539D"/>
    <w:rsid w:val="22A725F5"/>
    <w:rsid w:val="23616034"/>
    <w:rsid w:val="23C40371"/>
    <w:rsid w:val="23D76994"/>
    <w:rsid w:val="23E45DF0"/>
    <w:rsid w:val="244A21DC"/>
    <w:rsid w:val="24F50D03"/>
    <w:rsid w:val="2576528F"/>
    <w:rsid w:val="257776AA"/>
    <w:rsid w:val="25973D3D"/>
    <w:rsid w:val="25BB5840"/>
    <w:rsid w:val="25C12DBA"/>
    <w:rsid w:val="25F91780"/>
    <w:rsid w:val="260517FD"/>
    <w:rsid w:val="269F6859"/>
    <w:rsid w:val="26ED00AB"/>
    <w:rsid w:val="27DD08E9"/>
    <w:rsid w:val="28544D1C"/>
    <w:rsid w:val="291607CD"/>
    <w:rsid w:val="29C71050"/>
    <w:rsid w:val="2A070509"/>
    <w:rsid w:val="2A124B6F"/>
    <w:rsid w:val="2B3C2EE3"/>
    <w:rsid w:val="2B91322F"/>
    <w:rsid w:val="2BB51F29"/>
    <w:rsid w:val="2C7B6A6F"/>
    <w:rsid w:val="2D5F7CB2"/>
    <w:rsid w:val="2DC85545"/>
    <w:rsid w:val="2E1752C4"/>
    <w:rsid w:val="2E487472"/>
    <w:rsid w:val="2F0A3A24"/>
    <w:rsid w:val="2F686610"/>
    <w:rsid w:val="2F6D385E"/>
    <w:rsid w:val="30890978"/>
    <w:rsid w:val="31013A82"/>
    <w:rsid w:val="3112096E"/>
    <w:rsid w:val="31260853"/>
    <w:rsid w:val="32066B1E"/>
    <w:rsid w:val="34C504DB"/>
    <w:rsid w:val="356E2833"/>
    <w:rsid w:val="35E11256"/>
    <w:rsid w:val="373C4996"/>
    <w:rsid w:val="37D6349C"/>
    <w:rsid w:val="38242728"/>
    <w:rsid w:val="38280C5B"/>
    <w:rsid w:val="386B4CAE"/>
    <w:rsid w:val="38FB28B7"/>
    <w:rsid w:val="39C742BF"/>
    <w:rsid w:val="39FA113F"/>
    <w:rsid w:val="3B1E3933"/>
    <w:rsid w:val="3B533479"/>
    <w:rsid w:val="3D9916CC"/>
    <w:rsid w:val="3EA14BBC"/>
    <w:rsid w:val="4000576E"/>
    <w:rsid w:val="4038168F"/>
    <w:rsid w:val="40664832"/>
    <w:rsid w:val="419F422C"/>
    <w:rsid w:val="41DF489C"/>
    <w:rsid w:val="42770F78"/>
    <w:rsid w:val="42843A08"/>
    <w:rsid w:val="438B0B7B"/>
    <w:rsid w:val="43E614FD"/>
    <w:rsid w:val="45240818"/>
    <w:rsid w:val="459F36DC"/>
    <w:rsid w:val="4625596D"/>
    <w:rsid w:val="46C86D68"/>
    <w:rsid w:val="473837CB"/>
    <w:rsid w:val="47827893"/>
    <w:rsid w:val="47AC603A"/>
    <w:rsid w:val="47DE55F6"/>
    <w:rsid w:val="485A1120"/>
    <w:rsid w:val="48D67E97"/>
    <w:rsid w:val="49FC037E"/>
    <w:rsid w:val="4A4A3687"/>
    <w:rsid w:val="4A7358C0"/>
    <w:rsid w:val="4ADD1B62"/>
    <w:rsid w:val="4AF60EA8"/>
    <w:rsid w:val="4B4E6EFA"/>
    <w:rsid w:val="4B9133DD"/>
    <w:rsid w:val="4BD05255"/>
    <w:rsid w:val="4BF43954"/>
    <w:rsid w:val="4C0945CB"/>
    <w:rsid w:val="4D2C6E03"/>
    <w:rsid w:val="4D71197A"/>
    <w:rsid w:val="4E524648"/>
    <w:rsid w:val="4E606D65"/>
    <w:rsid w:val="4ECE1E68"/>
    <w:rsid w:val="4EDB463D"/>
    <w:rsid w:val="501F109B"/>
    <w:rsid w:val="5064053A"/>
    <w:rsid w:val="511C4EB8"/>
    <w:rsid w:val="51353B0C"/>
    <w:rsid w:val="51392673"/>
    <w:rsid w:val="5187285A"/>
    <w:rsid w:val="518D139F"/>
    <w:rsid w:val="519C1687"/>
    <w:rsid w:val="51FE19AE"/>
    <w:rsid w:val="52C53A06"/>
    <w:rsid w:val="52FB3122"/>
    <w:rsid w:val="537F5EDF"/>
    <w:rsid w:val="54622771"/>
    <w:rsid w:val="546E3324"/>
    <w:rsid w:val="5479292E"/>
    <w:rsid w:val="549048A6"/>
    <w:rsid w:val="54924AC2"/>
    <w:rsid w:val="55052499"/>
    <w:rsid w:val="551B6395"/>
    <w:rsid w:val="55944616"/>
    <w:rsid w:val="577D497C"/>
    <w:rsid w:val="58712363"/>
    <w:rsid w:val="587908C9"/>
    <w:rsid w:val="587B2D8D"/>
    <w:rsid w:val="59C91EDB"/>
    <w:rsid w:val="5A03401A"/>
    <w:rsid w:val="5A4566FD"/>
    <w:rsid w:val="5A98037A"/>
    <w:rsid w:val="5D167F4D"/>
    <w:rsid w:val="5D641C82"/>
    <w:rsid w:val="5DBC3340"/>
    <w:rsid w:val="5E0822B5"/>
    <w:rsid w:val="5E390DBC"/>
    <w:rsid w:val="5FCF48DD"/>
    <w:rsid w:val="60A97648"/>
    <w:rsid w:val="62F35F8F"/>
    <w:rsid w:val="637369FD"/>
    <w:rsid w:val="6378547D"/>
    <w:rsid w:val="63E92F01"/>
    <w:rsid w:val="63FA6EBC"/>
    <w:rsid w:val="641F3A4E"/>
    <w:rsid w:val="64261FAB"/>
    <w:rsid w:val="64583414"/>
    <w:rsid w:val="64A02AF8"/>
    <w:rsid w:val="652F7039"/>
    <w:rsid w:val="653F572A"/>
    <w:rsid w:val="65C6314B"/>
    <w:rsid w:val="662F5DDF"/>
    <w:rsid w:val="664F1741"/>
    <w:rsid w:val="671A5A12"/>
    <w:rsid w:val="67F65BEC"/>
    <w:rsid w:val="683A1F7D"/>
    <w:rsid w:val="68A675ED"/>
    <w:rsid w:val="69131F8C"/>
    <w:rsid w:val="69F44CE3"/>
    <w:rsid w:val="6AFF300A"/>
    <w:rsid w:val="6B2F768C"/>
    <w:rsid w:val="6B52582F"/>
    <w:rsid w:val="6BD21626"/>
    <w:rsid w:val="6D700D82"/>
    <w:rsid w:val="6E353908"/>
    <w:rsid w:val="6F6C40D6"/>
    <w:rsid w:val="6FB97C2B"/>
    <w:rsid w:val="70142B0F"/>
    <w:rsid w:val="701744E9"/>
    <w:rsid w:val="701B6B38"/>
    <w:rsid w:val="701F7900"/>
    <w:rsid w:val="705A42B6"/>
    <w:rsid w:val="7102591B"/>
    <w:rsid w:val="711F3E39"/>
    <w:rsid w:val="712938DB"/>
    <w:rsid w:val="71306613"/>
    <w:rsid w:val="715F71AF"/>
    <w:rsid w:val="71C70D25"/>
    <w:rsid w:val="72613CD4"/>
    <w:rsid w:val="72D62C47"/>
    <w:rsid w:val="73154050"/>
    <w:rsid w:val="73D47918"/>
    <w:rsid w:val="74514C90"/>
    <w:rsid w:val="752C6941"/>
    <w:rsid w:val="75A67813"/>
    <w:rsid w:val="75AF21D6"/>
    <w:rsid w:val="768B01B1"/>
    <w:rsid w:val="76F56648"/>
    <w:rsid w:val="77095117"/>
    <w:rsid w:val="77B57603"/>
    <w:rsid w:val="77E6723E"/>
    <w:rsid w:val="78A9267C"/>
    <w:rsid w:val="78B82041"/>
    <w:rsid w:val="79FB2290"/>
    <w:rsid w:val="7AE93E6D"/>
    <w:rsid w:val="7BA15BBB"/>
    <w:rsid w:val="7C665B06"/>
    <w:rsid w:val="7CCE1859"/>
    <w:rsid w:val="7CFF3D17"/>
    <w:rsid w:val="7E0427CB"/>
    <w:rsid w:val="7E306F7D"/>
    <w:rsid w:val="7FFF2F70"/>
    <w:rsid w:val="DF76A90E"/>
    <w:rsid w:val="E65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jc w:val="left"/>
      <w:outlineLvl w:val="0"/>
    </w:pPr>
    <w:rPr>
      <w:rFonts w:ascii="黑体" w:hAnsi="黑体" w:eastAsia="黑体"/>
      <w:szCs w:val="32"/>
      <w:lang w:val="zh-CN"/>
    </w:rPr>
  </w:style>
  <w:style w:type="paragraph" w:styleId="3">
    <w:name w:val="heading 2"/>
    <w:basedOn w:val="1"/>
    <w:next w:val="1"/>
    <w:autoRedefine/>
    <w:unhideWhenUsed/>
    <w:qFormat/>
    <w:uiPriority w:val="9"/>
    <w:pPr>
      <w:ind w:left="640" w:leftChars="200"/>
      <w:jc w:val="left"/>
      <w:outlineLvl w:val="1"/>
    </w:pPr>
    <w:rPr>
      <w:rFonts w:ascii="楷体_GB2312" w:eastAsia="楷体_GB2312" w:hAnsiTheme="majorHAnsi" w:cstheme="majorBidi"/>
      <w:bCs/>
      <w:szCs w:val="32"/>
      <w:lang w:val="zh-CN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autoRedefine/>
    <w:qFormat/>
    <w:uiPriority w:val="0"/>
    <w:pPr>
      <w:spacing w:before="120"/>
    </w:pPr>
    <w:rPr>
      <w:rFonts w:ascii="Calibri Light" w:hAnsi="Calibri Light" w:cs="Times New Roman"/>
      <w:sz w:val="24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0"/>
    <w:pPr>
      <w:spacing w:after="120"/>
    </w:pPr>
    <w:rPr>
      <w:szCs w:val="20"/>
    </w:rPr>
  </w:style>
  <w:style w:type="paragraph" w:styleId="8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autoRedefine/>
    <w:qFormat/>
    <w:uiPriority w:val="0"/>
  </w:style>
  <w:style w:type="character" w:customStyle="1" w:styleId="16">
    <w:name w:val="页眉 字符"/>
    <w:basedOn w:val="13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公#正文"/>
    <w:basedOn w:val="1"/>
    <w:link w:val="20"/>
    <w:autoRedefine/>
    <w:qFormat/>
    <w:uiPriority w:val="0"/>
    <w:pPr>
      <w:spacing w:line="560" w:lineRule="exact"/>
      <w:ind w:firstLine="200" w:firstLineChars="200"/>
    </w:pPr>
    <w:rPr>
      <w:rFonts w:ascii="仿宋" w:hAnsi="仿宋" w:eastAsia="仿宋" w:cs="Times New Roman"/>
      <w:sz w:val="32"/>
      <w:szCs w:val="32"/>
    </w:rPr>
  </w:style>
  <w:style w:type="character" w:customStyle="1" w:styleId="20">
    <w:name w:val="公#正文 字符"/>
    <w:basedOn w:val="13"/>
    <w:link w:val="19"/>
    <w:autoRedefine/>
    <w:qFormat/>
    <w:uiPriority w:val="0"/>
    <w:rPr>
      <w:rFonts w:ascii="仿宋" w:hAnsi="仿宋" w:eastAsia="仿宋"/>
      <w:kern w:val="2"/>
      <w:sz w:val="32"/>
      <w:szCs w:val="32"/>
    </w:rPr>
  </w:style>
  <w:style w:type="paragraph" w:customStyle="1" w:styleId="21">
    <w:name w:val="公#标题1"/>
    <w:basedOn w:val="19"/>
    <w:next w:val="19"/>
    <w:link w:val="22"/>
    <w:autoRedefine/>
    <w:qFormat/>
    <w:uiPriority w:val="0"/>
    <w:pPr>
      <w:numPr>
        <w:ilvl w:val="0"/>
        <w:numId w:val="1"/>
      </w:numPr>
      <w:ind w:firstLineChars="0"/>
      <w:outlineLvl w:val="0"/>
    </w:pPr>
    <w:rPr>
      <w:rFonts w:eastAsia="黑体"/>
    </w:rPr>
  </w:style>
  <w:style w:type="character" w:customStyle="1" w:styleId="22">
    <w:name w:val="公#标题1 字符"/>
    <w:basedOn w:val="20"/>
    <w:link w:val="21"/>
    <w:autoRedefine/>
    <w:qFormat/>
    <w:uiPriority w:val="0"/>
    <w:rPr>
      <w:rFonts w:ascii="仿宋" w:hAnsi="仿宋" w:eastAsia="黑体"/>
      <w:kern w:val="2"/>
      <w:sz w:val="32"/>
      <w:szCs w:val="32"/>
    </w:rPr>
  </w:style>
  <w:style w:type="paragraph" w:customStyle="1" w:styleId="23">
    <w:name w:val="公#标题2"/>
    <w:basedOn w:val="19"/>
    <w:next w:val="19"/>
    <w:link w:val="24"/>
    <w:autoRedefine/>
    <w:qFormat/>
    <w:uiPriority w:val="0"/>
    <w:pPr>
      <w:numPr>
        <w:ilvl w:val="0"/>
        <w:numId w:val="2"/>
      </w:numPr>
      <w:ind w:left="0" w:firstLine="200"/>
      <w:outlineLvl w:val="1"/>
    </w:pPr>
    <w:rPr>
      <w:rFonts w:eastAsia="楷体"/>
    </w:rPr>
  </w:style>
  <w:style w:type="character" w:customStyle="1" w:styleId="24">
    <w:name w:val="公#标题2 字符"/>
    <w:basedOn w:val="20"/>
    <w:link w:val="23"/>
    <w:autoRedefine/>
    <w:qFormat/>
    <w:uiPriority w:val="0"/>
    <w:rPr>
      <w:rFonts w:ascii="仿宋" w:hAnsi="仿宋" w:eastAsia="楷体"/>
      <w:kern w:val="2"/>
      <w:sz w:val="32"/>
      <w:szCs w:val="32"/>
    </w:rPr>
  </w:style>
  <w:style w:type="paragraph" w:styleId="25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3779</Words>
  <Characters>4018</Characters>
  <Lines>12</Lines>
  <Paragraphs>3</Paragraphs>
  <TotalTime>4</TotalTime>
  <ScaleCrop>false</ScaleCrop>
  <LinksUpToDate>false</LinksUpToDate>
  <CharactersWithSpaces>4154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2024-02-19T10:44:00Z</dcterms:created>
  <dc:creator>Administrator</dc:creator>
  <cp:lastModifiedBy>曹波</cp:lastModifiedBy>
  <cp:lastPrinted>2025-08-21T14:29:00Z</cp:lastPrinted>
  <dcterms:modified xsi:type="dcterms:W3CDTF">2025-09-23T13:59:22Z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0B3009B8B510448F90D32906567B84D7_13</vt:lpwstr>
  </property>
  <property fmtid="{D5CDD505-2E9C-101B-9397-08002B2CF9AE}" pid="4" name="KSOTemplateDocerSaveRecord">
    <vt:lpwstr>eyJoZGlkIjoiNmQ0NWQzMzZjMzRkNzZkMjE3NzhhY2MwZWQwMjc2MjMiLCJ1c2VySWQiOiIzODYwMjc4NzMifQ==</vt:lpwstr>
  </property>
</Properties>
</file>